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D5ABBE" w14:textId="77777777" w:rsidR="00AE1A8F" w:rsidRPr="00AE1A8F" w:rsidRDefault="00AE1A8F" w:rsidP="00AE1A8F">
      <w:pPr>
        <w:jc w:val="center"/>
        <w:outlineLvl w:val="2"/>
        <w:rPr>
          <w:rFonts w:ascii="Times New Roman" w:eastAsia="Times New Roman" w:hAnsi="Times New Roman" w:cs="Times New Roman"/>
          <w:b/>
          <w:bCs/>
        </w:rPr>
      </w:pPr>
      <w:r w:rsidRPr="00AE1A8F">
        <w:rPr>
          <w:rFonts w:ascii="Times New Roman" w:eastAsia="Times New Roman" w:hAnsi="Times New Roman" w:cs="Times New Roman"/>
          <w:b/>
          <w:bCs/>
        </w:rPr>
        <w:t>Module Overview</w:t>
      </w:r>
    </w:p>
    <w:p w14:paraId="522A8D49" w14:textId="77777777" w:rsidR="00AE1A8F" w:rsidRPr="00AE1A8F" w:rsidRDefault="00AE1A8F" w:rsidP="00AE1A8F">
      <w:pPr>
        <w:outlineLvl w:val="2"/>
        <w:rPr>
          <w:rFonts w:ascii="Times New Roman" w:eastAsia="Times New Roman" w:hAnsi="Times New Roman" w:cs="Times New Roman"/>
          <w:b/>
          <w:bCs/>
        </w:rPr>
      </w:pPr>
    </w:p>
    <w:p w14:paraId="457B0DA0" w14:textId="77777777" w:rsidR="00AE1A8F" w:rsidRPr="00AE1A8F" w:rsidRDefault="00AE1A8F" w:rsidP="00AE1A8F">
      <w:pPr>
        <w:pStyle w:val="NormalWeb"/>
        <w:spacing w:before="0" w:beforeAutospacing="0" w:after="0" w:afterAutospacing="0"/>
        <w:ind w:firstLine="720"/>
      </w:pPr>
      <w:r w:rsidRPr="00AE1A8F">
        <w:t xml:space="preserve">In the last two modules, we have focused on the female protagonist’s embodied experiences of the material world. This week, we will extend our discussion of literary representations of the embodied subject by reading one of the most famous works of Latin America’s preeminent novelist, Gabriel </w:t>
      </w:r>
      <w:proofErr w:type="spellStart"/>
      <w:r w:rsidRPr="00AE1A8F">
        <w:t>García</w:t>
      </w:r>
      <w:proofErr w:type="spellEnd"/>
      <w:r w:rsidRPr="00AE1A8F">
        <w:t xml:space="preserve"> </w:t>
      </w:r>
      <w:proofErr w:type="spellStart"/>
      <w:r w:rsidRPr="00AE1A8F">
        <w:t>Márquez</w:t>
      </w:r>
      <w:proofErr w:type="spellEnd"/>
      <w:r w:rsidRPr="00AE1A8F">
        <w:t xml:space="preserve">. As we will see, </w:t>
      </w:r>
      <w:r w:rsidRPr="00AE1A8F">
        <w:rPr>
          <w:rStyle w:val="Emphasis"/>
        </w:rPr>
        <w:t xml:space="preserve">Love in the Time of Cholera </w:t>
      </w:r>
      <w:r w:rsidRPr="00AE1A8F">
        <w:t xml:space="preserve">constitutes a watershed achievement in fiction insofar as it presents a love story in which the protagonists are elderly, in their seventies and eighties. As is to be expected, a paramount consideration of the text is the decline of the physical body and the implications for life and love in the face of the body’s mortality. Furthermore, we will explore the ramifications for narrative of an understanding of consciousness as the product of the </w:t>
      </w:r>
      <w:proofErr w:type="spellStart"/>
      <w:r w:rsidRPr="00AE1A8F">
        <w:t>interdynamics</w:t>
      </w:r>
      <w:proofErr w:type="spellEnd"/>
      <w:r w:rsidRPr="00AE1A8F">
        <w:t xml:space="preserve"> of the internal and external world. We will focus our attention on magical realism, the harnessing of an “extravagant reality,” to use </w:t>
      </w:r>
      <w:proofErr w:type="spellStart"/>
      <w:r w:rsidRPr="00AE1A8F">
        <w:t>García</w:t>
      </w:r>
      <w:proofErr w:type="spellEnd"/>
      <w:r w:rsidRPr="00AE1A8F">
        <w:t xml:space="preserve"> </w:t>
      </w:r>
      <w:proofErr w:type="spellStart"/>
      <w:r w:rsidRPr="00AE1A8F">
        <w:t>Márquez’s</w:t>
      </w:r>
      <w:proofErr w:type="spellEnd"/>
      <w:r w:rsidRPr="00AE1A8F">
        <w:t xml:space="preserve"> own terms to encapsulate both the conditions of the material world (and the living body that must navigate it), as well as magical realism’s investment in and aptitude for redefining those conditions.</w:t>
      </w:r>
    </w:p>
    <w:p w14:paraId="1CC68061" w14:textId="77777777" w:rsidR="00AE1A8F" w:rsidRPr="00AE1A8F" w:rsidRDefault="00AE1A8F" w:rsidP="00AE1A8F">
      <w:pPr>
        <w:pStyle w:val="NormalWeb"/>
        <w:spacing w:before="0" w:beforeAutospacing="0" w:after="0" w:afterAutospacing="0"/>
      </w:pPr>
    </w:p>
    <w:p w14:paraId="0637C722" w14:textId="77777777" w:rsidR="00AE1A8F" w:rsidRPr="00AE1A8F" w:rsidRDefault="00AE1A8F" w:rsidP="00AE1A8F">
      <w:pPr>
        <w:pStyle w:val="NormalWeb"/>
        <w:spacing w:before="0" w:beforeAutospacing="0" w:after="0" w:afterAutospacing="0"/>
        <w:ind w:firstLine="720"/>
      </w:pPr>
      <w:r w:rsidRPr="00AE1A8F">
        <w:t xml:space="preserve">Perhaps one of the most intriguing aspects of </w:t>
      </w:r>
      <w:r w:rsidRPr="00AE1A8F">
        <w:rPr>
          <w:rStyle w:val="Emphasis"/>
        </w:rPr>
        <w:t xml:space="preserve">Love in the Time of Cholera </w:t>
      </w:r>
      <w:r w:rsidRPr="00AE1A8F">
        <w:t>is its focus on the love affair of an elderly couple, its concern with the protagonists’ experiencing of their own mortality even as they navigate the complexities of romantic attachments. The novel is deeply invested in the physical embodiment of its characters, and nothing is beyond the pale of representation, from the odors of defecation to the visible indignities of the human body in death. This is an important innovation in both imaginative literature and its social context in that such representations of the realities of physical embodiment are often treated in post-Enlightenment society as taboo.</w:t>
      </w:r>
    </w:p>
    <w:p w14:paraId="24DF182E" w14:textId="77777777" w:rsidR="00AE1A8F" w:rsidRPr="00AE1A8F" w:rsidRDefault="00AE1A8F" w:rsidP="00AE1A8F">
      <w:pPr>
        <w:pStyle w:val="NormalWeb"/>
        <w:spacing w:before="0" w:beforeAutospacing="0" w:after="0" w:afterAutospacing="0"/>
      </w:pPr>
    </w:p>
    <w:p w14:paraId="1DAF525D" w14:textId="77777777" w:rsidR="00AE1A8F" w:rsidRPr="00AE1A8F" w:rsidRDefault="00AE1A8F" w:rsidP="00AE1A8F">
      <w:pPr>
        <w:pStyle w:val="NormalWeb"/>
        <w:spacing w:before="0" w:beforeAutospacing="0" w:after="0" w:afterAutospacing="0"/>
        <w:ind w:firstLine="720"/>
      </w:pPr>
      <w:r w:rsidRPr="00AE1A8F">
        <w:t>As we have discussed in previous modules, from the Age of Enlightenment on, the ideal subject self is one that is intrinsically disembodied. The Enlightenment subject is pure mind, the body functioning solely as an instrument of the mind, capable of activating the will of the rational subject and then of disappearing, of rendering itself invisible until called upon again. This is a body that does not intrude or insist upon itself. It is, in short, a fictive body, a purely imaginary construct that exists only to the extent that illness, aging, and death are denied.</w:t>
      </w:r>
    </w:p>
    <w:p w14:paraId="69F76F5B" w14:textId="77777777" w:rsidR="00AE1A8F" w:rsidRPr="00AE1A8F" w:rsidRDefault="00AE1A8F" w:rsidP="00AE1A8F">
      <w:pPr>
        <w:pStyle w:val="NormalWeb"/>
        <w:spacing w:before="0" w:beforeAutospacing="0" w:after="0" w:afterAutospacing="0"/>
      </w:pPr>
      <w:r w:rsidRPr="00AE1A8F">
        <w:t xml:space="preserve">In her groundbreaking book </w:t>
      </w:r>
      <w:r w:rsidRPr="00AE1A8F">
        <w:rPr>
          <w:rStyle w:val="Emphasis"/>
        </w:rPr>
        <w:t>Bodies That Matter</w:t>
      </w:r>
      <w:r w:rsidRPr="00AE1A8F">
        <w:t>, feminist and queer theorist Judith Butler presents a post-structural analysis of the embodied, post-Enlightenment subject. She argues that social, sexual, and gender constructions are predicated upon what she terms the performativity of the physical body. Bodies that matter, socially, are those that can perform adequately the identities ascribed to them. Such performances are hetero-normative, she argues, insofar as they naturalize, authorize, and insist upon traditional taxonomies of gender, of male/female sexual relationships, and of the power hierarchies inherent in these.</w:t>
      </w:r>
    </w:p>
    <w:p w14:paraId="5477F164" w14:textId="77777777" w:rsidR="00AE1A8F" w:rsidRPr="00AE1A8F" w:rsidRDefault="00AE1A8F" w:rsidP="00AE1A8F">
      <w:pPr>
        <w:pStyle w:val="NormalWeb"/>
        <w:spacing w:before="0" w:beforeAutospacing="0" w:after="0" w:afterAutospacing="0"/>
      </w:pPr>
    </w:p>
    <w:p w14:paraId="1874626C" w14:textId="77777777" w:rsidR="00AE1A8F" w:rsidRPr="00AE1A8F" w:rsidRDefault="00AE1A8F" w:rsidP="00AE1A8F">
      <w:pPr>
        <w:pStyle w:val="NormalWeb"/>
        <w:spacing w:before="0" w:beforeAutospacing="0" w:after="0" w:afterAutospacing="0"/>
        <w:ind w:firstLine="720"/>
      </w:pPr>
      <w:r w:rsidRPr="00AE1A8F">
        <w:t xml:space="preserve">Nevertheless, Butler goes on to argue that the performative nature of embodiment necessitates a constant negotiation of the embodied self with its material world, setting the conditions for subversive performance at every turn, with each act of performance always already an act of (real or potential) transgression until, at last, the boundaries that define the “bodies that matter” begin to shift, encompassing embodied subjects once outside of the purview of the idealized “norm.” These bodies include not only the transgendered, and the homosexual (who perform sex and gender in “transgressive” ways), but also women (who are always already </w:t>
      </w:r>
      <w:r w:rsidRPr="00AE1A8F">
        <w:lastRenderedPageBreak/>
        <w:t>transgressive insofar as they are not male), as well as the ill and the aged, whose infirm bodies cannot perform the “invisibility,” the disembodiment, that Enlightenment subjectivity would insist upon.</w:t>
      </w:r>
    </w:p>
    <w:p w14:paraId="43F07B96" w14:textId="77777777" w:rsidR="00AE1A8F" w:rsidRPr="00AE1A8F" w:rsidRDefault="00AE1A8F" w:rsidP="00AE1A8F">
      <w:pPr>
        <w:pStyle w:val="NormalWeb"/>
        <w:spacing w:before="0" w:beforeAutospacing="0" w:after="0" w:afterAutospacing="0"/>
        <w:ind w:firstLine="720"/>
      </w:pPr>
    </w:p>
    <w:p w14:paraId="7BC205BA" w14:textId="77777777" w:rsidR="00AE1A8F" w:rsidRPr="00AE1A8F" w:rsidRDefault="00AE1A8F" w:rsidP="00AE1A8F">
      <w:pPr>
        <w:pStyle w:val="NormalWeb"/>
        <w:spacing w:before="0" w:beforeAutospacing="0" w:after="0" w:afterAutospacing="0"/>
        <w:ind w:firstLine="720"/>
      </w:pPr>
      <w:r w:rsidRPr="00AE1A8F">
        <w:t>Another important theorist in this arena is Michel Foucault, whose prodigious oeuvre centers upon the creation of modern subjectivity through a network of power/knowledge structures in which the individual becomes “disciplined” to think, feel, and act in accordance with the requirements of modern society. For Foucault, post-Enlightenment subject-selves are created through the successful navigation of a host of modern disciplinary frameworks, from government systems and the military to law, education, and medicine. The figures of both power (i.e., of government and of the military) and of knowledge (education, medicine, and law) define the “proper” ways of being a modern subject-self. The individual internalizes these codes of conduct (which is the process of disciplining the subject), adopting them as his or her own as a means of self-regulation. The subject’s sense of identity, community, and self-worth derives from this capacity to effectively fulfill his or her role as a “good” modern citizen.</w:t>
      </w:r>
    </w:p>
    <w:p w14:paraId="5D62A169" w14:textId="77777777" w:rsidR="00AE1A8F" w:rsidRPr="00AE1A8F" w:rsidRDefault="00AE1A8F" w:rsidP="00AE1A8F">
      <w:pPr>
        <w:pStyle w:val="NormalWeb"/>
        <w:spacing w:before="0" w:beforeAutospacing="0" w:after="0" w:afterAutospacing="0"/>
      </w:pPr>
    </w:p>
    <w:p w14:paraId="2BD72844" w14:textId="77777777" w:rsidR="00AE1A8F" w:rsidRPr="00AE1A8F" w:rsidRDefault="00AE1A8F" w:rsidP="00AE1A8F">
      <w:pPr>
        <w:pStyle w:val="NormalWeb"/>
        <w:spacing w:before="0" w:beforeAutospacing="0" w:after="0" w:afterAutospacing="0"/>
        <w:ind w:firstLine="720"/>
      </w:pPr>
      <w:r w:rsidRPr="00AE1A8F">
        <w:t xml:space="preserve">For Foucault, the physical body is one of the most important sites for the disciplining of the subject-self, a disciplining of the body featured prominently in El </w:t>
      </w:r>
      <w:proofErr w:type="spellStart"/>
      <w:r w:rsidRPr="00AE1A8F">
        <w:t>Saadawi’s</w:t>
      </w:r>
      <w:proofErr w:type="spellEnd"/>
      <w:r w:rsidRPr="00AE1A8F">
        <w:t xml:space="preserve"> “In Camera,” as discussed in the previous module. Modern society, especially as it is implicated in the capitalistic forces of production, insists upon the regularity and uniformity of the human body. According to Foucault, the post-Enlightenment ideal requires that all human bodies be interchangeable. From the military, which inculcates in its troops regularity of bodily appearance, capability, and function; to medicine, which defines as pathological anything that deviates from an “idealized” norm—in modern society, the disciplined (and proper) body is one that can be substituted easily with any other body. It can be replaced as readily on the assembly line as on the frontlines of war, all bodies working uniformly, interchangeably, and predictably to maintain the hierarchical structures of a post-Enlightenment, rationalist society.</w:t>
      </w:r>
    </w:p>
    <w:p w14:paraId="78307A7D" w14:textId="77777777" w:rsidR="00AE1A8F" w:rsidRPr="00AE1A8F" w:rsidRDefault="00AE1A8F" w:rsidP="00AE1A8F">
      <w:pPr>
        <w:pStyle w:val="NormalWeb"/>
        <w:spacing w:before="0" w:beforeAutospacing="0" w:after="0" w:afterAutospacing="0"/>
      </w:pPr>
    </w:p>
    <w:p w14:paraId="76D7F9AE" w14:textId="77777777" w:rsidR="00AE1A8F" w:rsidRPr="00AE1A8F" w:rsidRDefault="00AE1A8F" w:rsidP="00AE1A8F">
      <w:pPr>
        <w:pStyle w:val="NormalWeb"/>
        <w:spacing w:before="0" w:beforeAutospacing="0" w:after="0" w:afterAutospacing="0"/>
        <w:ind w:firstLine="720"/>
      </w:pPr>
      <w:r w:rsidRPr="00AE1A8F">
        <w:t>Significantly, those bodies that by choice or necessity fail to meet the standards of bodies that matter are both ideologically and practically discharged from the normative boundaries of proper society. The pioneering psychoanalytic and post-structural theorist Julia Kristeva centers her work upon the study of those bodies that fall outside of normative boundaries, boundaries that define what she calls the “clean and proper” body. According to Kristeva, the clean and proper body in its composition and functioning adheres to the mandates of post-Enlightenment corporeality. It is free of disease and infirmity, and it carries out with impunity the mandates of the rational will. Most importantly, however, the clean and proper body is a fictive construct, an idealized image that is essentially bodiless. Echoing Foucault, Kristeva argues that the (futile) attempt to live up to the normative ideal subjugates and shapes the subject, most notably through processes of abjection.</w:t>
      </w:r>
    </w:p>
    <w:p w14:paraId="5692742E" w14:textId="77777777" w:rsidR="00AE1A8F" w:rsidRPr="00AE1A8F" w:rsidRDefault="00AE1A8F" w:rsidP="00AE1A8F">
      <w:pPr>
        <w:pStyle w:val="NormalWeb"/>
        <w:spacing w:before="0" w:beforeAutospacing="0" w:after="0" w:afterAutospacing="0"/>
      </w:pPr>
    </w:p>
    <w:p w14:paraId="4B7FFF2C" w14:textId="77777777" w:rsidR="00AE1A8F" w:rsidRPr="00AE1A8F" w:rsidRDefault="00AE1A8F" w:rsidP="00AE1A8F">
      <w:pPr>
        <w:pStyle w:val="NormalWeb"/>
        <w:spacing w:before="0" w:beforeAutospacing="0" w:after="0" w:afterAutospacing="0"/>
        <w:ind w:firstLine="720"/>
      </w:pPr>
      <w:r w:rsidRPr="00AE1A8F">
        <w:t xml:space="preserve">The abject, for Kristeva, is anything that threatens the integrity of the (dis)embodied Enlightenment subject. These threats include in particular anything that undermines the preservation of the boundaries between self and other or the presumed corporeal invulnerabilities that render the subject autonomous, capable of living as the rational will chooses, without submission to bodily limits or considerations. Within this framework, all human beings, at one point or another in their lives, will possess an abject body. Important examples of abjection, for Kristeva, include pregnancy, childbirth, breastfeeding, vomiting, urination, and defecation (insofar as these blur the boundaries of the body, destabilizing the frontiers between self and other and between bodily insides and outsides). Likewise, wounded, ill, and dead bodies are similarly abject in their </w:t>
      </w:r>
      <w:proofErr w:type="spellStart"/>
      <w:r w:rsidRPr="00AE1A8F">
        <w:t>corporealization</w:t>
      </w:r>
      <w:proofErr w:type="spellEnd"/>
      <w:r w:rsidRPr="00AE1A8F">
        <w:t xml:space="preserve"> of the body’s vulnerabilities, its dependence, and its mortality.</w:t>
      </w:r>
    </w:p>
    <w:p w14:paraId="086D1B7F" w14:textId="77777777" w:rsidR="00AE1A8F" w:rsidRPr="00AE1A8F" w:rsidRDefault="00AE1A8F" w:rsidP="00AE1A8F">
      <w:pPr>
        <w:pStyle w:val="NormalWeb"/>
        <w:spacing w:before="0" w:beforeAutospacing="0" w:after="0" w:afterAutospacing="0"/>
      </w:pPr>
    </w:p>
    <w:p w14:paraId="5CC488D0" w14:textId="77777777" w:rsidR="00AE1A8F" w:rsidRPr="00AE1A8F" w:rsidRDefault="00AE1A8F" w:rsidP="00AE1A8F">
      <w:pPr>
        <w:pStyle w:val="NormalWeb"/>
        <w:spacing w:before="0" w:beforeAutospacing="0" w:after="0" w:afterAutospacing="0"/>
        <w:ind w:firstLine="720"/>
      </w:pPr>
      <w:r w:rsidRPr="00AE1A8F">
        <w:t xml:space="preserve">It seems significant, then, that </w:t>
      </w:r>
      <w:r w:rsidRPr="00AE1A8F">
        <w:rPr>
          <w:rStyle w:val="Emphasis"/>
        </w:rPr>
        <w:t>Love in the Time of Cholera</w:t>
      </w:r>
      <w:r w:rsidRPr="00AE1A8F">
        <w:t xml:space="preserve">’s protagonists are elderly, possessing bodies that, by Kristeva’s definition, are abject. Within this context, the novel’s opening scene is particularly apt, with Dr. </w:t>
      </w:r>
      <w:proofErr w:type="spellStart"/>
      <w:r w:rsidRPr="00AE1A8F">
        <w:t>Urbino</w:t>
      </w:r>
      <w:proofErr w:type="spellEnd"/>
      <w:r w:rsidRPr="00AE1A8F">
        <w:t xml:space="preserve"> discovering the wasted body of his patient, a suicide prompted by the patient’s fear of aging. Like the scenes of the doctor’s own death later that afternoon, here, the fragility of the body in death takes center stage, with the doctor’s clinical eye absorbing the consuming progression of death on the old soldier’s body, even as the doctor’s painstaking preparation of the body highlights the individual’s dependence in death on the care and respect of others. Death, therefore, destroys Enlightenment premises of autonomy, the mortal body asserting its preeminence at last in a final, humbling display of vulnerability.</w:t>
      </w:r>
    </w:p>
    <w:p w14:paraId="7AC17DCF" w14:textId="77777777" w:rsidR="00AE1A8F" w:rsidRPr="00AE1A8F" w:rsidRDefault="00AE1A8F" w:rsidP="00AE1A8F">
      <w:pPr>
        <w:pStyle w:val="NormalWeb"/>
        <w:spacing w:before="0" w:beforeAutospacing="0" w:after="0" w:afterAutospacing="0"/>
      </w:pPr>
    </w:p>
    <w:p w14:paraId="6C045DC4" w14:textId="77777777" w:rsidR="00AE1A8F" w:rsidRPr="00AE1A8F" w:rsidRDefault="00AE1A8F" w:rsidP="00AE1A8F">
      <w:pPr>
        <w:spacing w:before="100" w:beforeAutospacing="1" w:after="100" w:afterAutospacing="1"/>
        <w:outlineLvl w:val="2"/>
        <w:rPr>
          <w:rFonts w:ascii="Times New Roman" w:eastAsia="Times New Roman" w:hAnsi="Times New Roman" w:cs="Times New Roman"/>
          <w:b/>
          <w:bCs/>
        </w:rPr>
      </w:pPr>
      <w:r w:rsidRPr="00AE1A8F">
        <w:rPr>
          <w:rFonts w:ascii="Times New Roman" w:eastAsia="Times New Roman" w:hAnsi="Times New Roman" w:cs="Times New Roman"/>
          <w:b/>
          <w:bCs/>
        </w:rPr>
        <w:t>Learning Objectives</w:t>
      </w:r>
    </w:p>
    <w:p w14:paraId="7E8E13DF" w14:textId="77777777" w:rsidR="00AE1A8F" w:rsidRPr="00AE1A8F" w:rsidRDefault="00AE1A8F" w:rsidP="00AE1A8F">
      <w:pPr>
        <w:numPr>
          <w:ilvl w:val="0"/>
          <w:numId w:val="1"/>
        </w:numPr>
        <w:spacing w:before="100" w:beforeAutospacing="1" w:after="100" w:afterAutospacing="1"/>
        <w:rPr>
          <w:rFonts w:ascii="Times New Roman" w:eastAsia="Times New Roman" w:hAnsi="Times New Roman" w:cs="Times New Roman"/>
        </w:rPr>
      </w:pPr>
      <w:r w:rsidRPr="00AE1A8F">
        <w:rPr>
          <w:rFonts w:ascii="Times New Roman" w:eastAsia="Times New Roman" w:hAnsi="Times New Roman" w:cs="Times New Roman"/>
        </w:rPr>
        <w:t>Give and receive feedback on one’s classmates’ selections of credible and reliable secondary sources and consider to what extent they can be used to support an original literary argument about two works of global literature.</w:t>
      </w:r>
    </w:p>
    <w:p w14:paraId="2B9D52F7" w14:textId="77777777" w:rsidR="00AE1A8F" w:rsidRPr="00AE1A8F" w:rsidRDefault="00AE1A8F" w:rsidP="00AE1A8F">
      <w:pPr>
        <w:numPr>
          <w:ilvl w:val="0"/>
          <w:numId w:val="1"/>
        </w:numPr>
        <w:spacing w:before="100" w:beforeAutospacing="1" w:after="100" w:afterAutospacing="1"/>
        <w:rPr>
          <w:rFonts w:ascii="Times New Roman" w:eastAsia="Times New Roman" w:hAnsi="Times New Roman" w:cs="Times New Roman"/>
        </w:rPr>
      </w:pPr>
      <w:r w:rsidRPr="00AE1A8F">
        <w:rPr>
          <w:rFonts w:ascii="Times New Roman" w:eastAsia="Times New Roman" w:hAnsi="Times New Roman" w:cs="Times New Roman"/>
        </w:rPr>
        <w:t>Give and receive feedback assessing how the selected secondary sources and theoretical approach of one’s classmates will support an original literary argument on works of global literature.</w:t>
      </w:r>
    </w:p>
    <w:p w14:paraId="4D84986F" w14:textId="77777777" w:rsidR="00AE1A8F" w:rsidRPr="00AE1A8F" w:rsidRDefault="00AE1A8F" w:rsidP="00AE1A8F">
      <w:pPr>
        <w:numPr>
          <w:ilvl w:val="0"/>
          <w:numId w:val="1"/>
        </w:numPr>
        <w:spacing w:before="100" w:beforeAutospacing="1" w:after="100" w:afterAutospacing="1"/>
        <w:rPr>
          <w:rFonts w:ascii="Times New Roman" w:eastAsia="Times New Roman" w:hAnsi="Times New Roman" w:cs="Times New Roman"/>
        </w:rPr>
      </w:pPr>
      <w:r w:rsidRPr="00AE1A8F">
        <w:rPr>
          <w:rFonts w:ascii="Times New Roman" w:eastAsia="Times New Roman" w:hAnsi="Times New Roman" w:cs="Times New Roman"/>
        </w:rPr>
        <w:t xml:space="preserve">Evaluate </w:t>
      </w:r>
      <w:r w:rsidRPr="00AE1A8F">
        <w:rPr>
          <w:rFonts w:ascii="Times New Roman" w:eastAsia="Times New Roman" w:hAnsi="Times New Roman" w:cs="Times New Roman"/>
          <w:i/>
          <w:iCs/>
        </w:rPr>
        <w:t>Love in the Time of Cholera</w:t>
      </w:r>
      <w:r w:rsidRPr="00AE1A8F">
        <w:rPr>
          <w:rFonts w:ascii="Times New Roman" w:eastAsia="Times New Roman" w:hAnsi="Times New Roman" w:cs="Times New Roman"/>
        </w:rPr>
        <w:t xml:space="preserve"> as an experimental text, including the use of postmodern techniques and magical realism.</w:t>
      </w:r>
    </w:p>
    <w:p w14:paraId="72D8B7D5" w14:textId="77777777" w:rsidR="00AE1A8F" w:rsidRPr="00AE1A8F" w:rsidRDefault="00AE1A8F" w:rsidP="00AE1A8F">
      <w:pPr>
        <w:numPr>
          <w:ilvl w:val="0"/>
          <w:numId w:val="1"/>
        </w:numPr>
        <w:spacing w:before="100" w:beforeAutospacing="1" w:after="100" w:afterAutospacing="1"/>
        <w:rPr>
          <w:rFonts w:ascii="Times New Roman" w:eastAsia="Times New Roman" w:hAnsi="Times New Roman" w:cs="Times New Roman"/>
        </w:rPr>
      </w:pPr>
      <w:r w:rsidRPr="00AE1A8F">
        <w:rPr>
          <w:rFonts w:ascii="Times New Roman" w:eastAsia="Times New Roman" w:hAnsi="Times New Roman" w:cs="Times New Roman"/>
        </w:rPr>
        <w:t>Compare Latin American writing of the twentieth century to other post/colonial literatures.</w:t>
      </w:r>
    </w:p>
    <w:p w14:paraId="7F115A97" w14:textId="77777777" w:rsidR="00AE1A8F" w:rsidRPr="00AE1A8F" w:rsidRDefault="00AE1A8F" w:rsidP="00AE1A8F">
      <w:pPr>
        <w:numPr>
          <w:ilvl w:val="0"/>
          <w:numId w:val="1"/>
        </w:numPr>
        <w:spacing w:before="100" w:beforeAutospacing="1" w:after="100" w:afterAutospacing="1"/>
        <w:rPr>
          <w:rFonts w:ascii="Times New Roman" w:eastAsia="Times New Roman" w:hAnsi="Times New Roman" w:cs="Times New Roman"/>
        </w:rPr>
      </w:pPr>
      <w:r w:rsidRPr="00AE1A8F">
        <w:rPr>
          <w:rFonts w:ascii="Times New Roman" w:eastAsia="Times New Roman" w:hAnsi="Times New Roman" w:cs="Times New Roman"/>
        </w:rPr>
        <w:t xml:space="preserve">Analyze </w:t>
      </w:r>
      <w:r w:rsidRPr="00AE1A8F">
        <w:rPr>
          <w:rFonts w:ascii="Times New Roman" w:eastAsia="Times New Roman" w:hAnsi="Times New Roman" w:cs="Times New Roman"/>
          <w:i/>
          <w:iCs/>
        </w:rPr>
        <w:t>Love in the Time of Cholera</w:t>
      </w:r>
      <w:r w:rsidRPr="00AE1A8F">
        <w:rPr>
          <w:rFonts w:ascii="Times New Roman" w:eastAsia="Times New Roman" w:hAnsi="Times New Roman" w:cs="Times New Roman"/>
        </w:rPr>
        <w:t xml:space="preserve"> as a revision of traditional representations of Latin America.</w:t>
      </w:r>
      <w:bookmarkStart w:id="0" w:name="_GoBack"/>
      <w:bookmarkEnd w:id="0"/>
    </w:p>
    <w:p w14:paraId="57CD4891" w14:textId="77777777" w:rsidR="00AE1A8F" w:rsidRDefault="00AE1A8F" w:rsidP="00AE1A8F">
      <w:pPr>
        <w:spacing w:before="100" w:beforeAutospacing="1" w:after="100" w:afterAutospacing="1"/>
        <w:jc w:val="center"/>
        <w:rPr>
          <w:rFonts w:ascii="Times New Roman" w:hAnsi="Times New Roman" w:cs="Times New Roman"/>
        </w:rPr>
      </w:pPr>
    </w:p>
    <w:p w14:paraId="7965CA4C" w14:textId="77777777" w:rsidR="00AE1A8F" w:rsidRDefault="00AE1A8F" w:rsidP="00AE1A8F">
      <w:pPr>
        <w:spacing w:before="100" w:beforeAutospacing="1" w:after="100" w:afterAutospacing="1"/>
        <w:jc w:val="center"/>
        <w:rPr>
          <w:rFonts w:ascii="Times New Roman" w:hAnsi="Times New Roman" w:cs="Times New Roman"/>
        </w:rPr>
      </w:pPr>
    </w:p>
    <w:p w14:paraId="510ECDD4" w14:textId="77777777" w:rsidR="00AE1A8F" w:rsidRPr="00AE1A8F" w:rsidRDefault="00AE1A8F" w:rsidP="00AE1A8F">
      <w:pPr>
        <w:spacing w:before="100" w:beforeAutospacing="1" w:after="100" w:afterAutospacing="1"/>
        <w:jc w:val="center"/>
        <w:rPr>
          <w:rFonts w:ascii="Times New Roman" w:eastAsia="Times New Roman" w:hAnsi="Times New Roman" w:cs="Times New Roman"/>
        </w:rPr>
      </w:pPr>
      <w:r w:rsidRPr="00AE1A8F">
        <w:rPr>
          <w:rFonts w:ascii="Times New Roman" w:hAnsi="Times New Roman" w:cs="Times New Roman"/>
        </w:rPr>
        <w:t>Works Cited</w:t>
      </w:r>
    </w:p>
    <w:p w14:paraId="3FFB208C" w14:textId="77777777" w:rsidR="00AE1A8F" w:rsidRDefault="00AE1A8F" w:rsidP="00AE1A8F">
      <w:pPr>
        <w:pStyle w:val="NormalWeb"/>
        <w:spacing w:before="0" w:beforeAutospacing="0" w:after="0" w:afterAutospacing="0"/>
      </w:pPr>
      <w:r w:rsidRPr="00AE1A8F">
        <w:t xml:space="preserve">Butler, Judith. </w:t>
      </w:r>
      <w:r w:rsidRPr="00AE1A8F">
        <w:rPr>
          <w:rStyle w:val="Emphasis"/>
        </w:rPr>
        <w:t xml:space="preserve">Bodies That Matter: On the Discursive Limits of “Sex.” </w:t>
      </w:r>
      <w:r>
        <w:t>New York:</w:t>
      </w:r>
    </w:p>
    <w:p w14:paraId="201C6F3B" w14:textId="77777777" w:rsidR="00AE1A8F" w:rsidRDefault="00AE1A8F" w:rsidP="00AE1A8F">
      <w:pPr>
        <w:pStyle w:val="NormalWeb"/>
        <w:spacing w:before="0" w:beforeAutospacing="0" w:after="0" w:afterAutospacing="0"/>
        <w:ind w:firstLine="720"/>
      </w:pPr>
      <w:proofErr w:type="gramStart"/>
      <w:r w:rsidRPr="00AE1A8F">
        <w:t>Routledge,  1993</w:t>
      </w:r>
      <w:proofErr w:type="gramEnd"/>
      <w:r w:rsidRPr="00AE1A8F">
        <w:t xml:space="preserve">. Print. </w:t>
      </w:r>
      <w:proofErr w:type="gramStart"/>
      <w:r w:rsidRPr="00AE1A8F">
        <w:t>Kristeva,  Julia</w:t>
      </w:r>
      <w:proofErr w:type="gramEnd"/>
      <w:r w:rsidRPr="00AE1A8F">
        <w:t xml:space="preserve">. </w:t>
      </w:r>
      <w:proofErr w:type="gramStart"/>
      <w:r w:rsidRPr="00AE1A8F">
        <w:rPr>
          <w:rStyle w:val="Emphasis"/>
        </w:rPr>
        <w:t>Powers  of</w:t>
      </w:r>
      <w:proofErr w:type="gramEnd"/>
      <w:r w:rsidRPr="00AE1A8F">
        <w:rPr>
          <w:rStyle w:val="Emphasis"/>
        </w:rPr>
        <w:t xml:space="preserve"> Horror:  An Essay on Abjection</w:t>
      </w:r>
      <w:r>
        <w:t>. Tr.</w:t>
      </w:r>
    </w:p>
    <w:p w14:paraId="7DE3F223" w14:textId="77777777" w:rsidR="00AE1A8F" w:rsidRPr="00AE1A8F" w:rsidRDefault="00AE1A8F" w:rsidP="00AE1A8F">
      <w:pPr>
        <w:pStyle w:val="NormalWeb"/>
        <w:spacing w:before="0" w:beforeAutospacing="0" w:after="0" w:afterAutospacing="0"/>
        <w:ind w:firstLine="720"/>
      </w:pPr>
      <w:r w:rsidRPr="00AE1A8F">
        <w:t xml:space="preserve">Leon S. </w:t>
      </w:r>
      <w:proofErr w:type="spellStart"/>
      <w:r w:rsidRPr="00AE1A8F">
        <w:t>Roudiez</w:t>
      </w:r>
      <w:proofErr w:type="spellEnd"/>
      <w:r w:rsidRPr="00AE1A8F">
        <w:t>.  New York: Columbia UP, 1982. Print.</w:t>
      </w:r>
    </w:p>
    <w:p w14:paraId="2CCD2266" w14:textId="77777777" w:rsidR="00AE1A8F" w:rsidRPr="00AE1A8F" w:rsidRDefault="00AE1A8F" w:rsidP="00AE1A8F">
      <w:pPr>
        <w:pStyle w:val="NormalWeb"/>
        <w:spacing w:before="0" w:beforeAutospacing="0" w:after="0" w:afterAutospacing="0"/>
      </w:pPr>
    </w:p>
    <w:p w14:paraId="54AD7C4B" w14:textId="77777777" w:rsidR="00AE1A8F" w:rsidRDefault="00AE1A8F" w:rsidP="00AE1A8F">
      <w:pPr>
        <w:pStyle w:val="NormalWeb"/>
        <w:spacing w:before="0" w:beforeAutospacing="0" w:after="0" w:afterAutospacing="0"/>
      </w:pPr>
      <w:r w:rsidRPr="00AE1A8F">
        <w:t xml:space="preserve">Foucault, Michael. </w:t>
      </w:r>
      <w:r w:rsidRPr="00AE1A8F">
        <w:rPr>
          <w:rStyle w:val="Emphasis"/>
        </w:rPr>
        <w:t>History of Sexuality Volume 1</w:t>
      </w:r>
      <w:r w:rsidRPr="00AE1A8F">
        <w:rPr>
          <w:rStyle w:val="Strong"/>
          <w:i/>
          <w:iCs/>
        </w:rPr>
        <w:t xml:space="preserve">. </w:t>
      </w:r>
      <w:proofErr w:type="spellStart"/>
      <w:r w:rsidRPr="00AE1A8F">
        <w:t>N.p</w:t>
      </w:r>
      <w:proofErr w:type="spellEnd"/>
      <w:r w:rsidRPr="00AE1A8F">
        <w:t>.: Vinta</w:t>
      </w:r>
      <w:r>
        <w:t>ge Books. 1978. Print. Marquez,</w:t>
      </w:r>
    </w:p>
    <w:p w14:paraId="1E862FE6" w14:textId="77777777" w:rsidR="00EA6E9C" w:rsidRPr="00AE1A8F" w:rsidRDefault="00AE1A8F" w:rsidP="00AE1A8F">
      <w:pPr>
        <w:pStyle w:val="NormalWeb"/>
        <w:spacing w:before="0" w:beforeAutospacing="0" w:after="0" w:afterAutospacing="0"/>
        <w:ind w:firstLine="720"/>
      </w:pPr>
      <w:r w:rsidRPr="00AE1A8F">
        <w:t xml:space="preserve">Gabriel Garcia. </w:t>
      </w:r>
      <w:r w:rsidRPr="00AE1A8F">
        <w:rPr>
          <w:rStyle w:val="Emphasis"/>
        </w:rPr>
        <w:t>Love in the Time of Cholera</w:t>
      </w:r>
      <w:r w:rsidRPr="00AE1A8F">
        <w:t xml:space="preserve">.  Reprint ed. </w:t>
      </w:r>
      <w:proofErr w:type="spellStart"/>
      <w:r w:rsidRPr="00AE1A8F">
        <w:t>N.p</w:t>
      </w:r>
      <w:proofErr w:type="spellEnd"/>
      <w:r w:rsidRPr="00AE1A8F">
        <w:t>.: Vintage, 2007. Print.</w:t>
      </w:r>
    </w:p>
    <w:sectPr w:rsidR="00EA6E9C" w:rsidRPr="00AE1A8F" w:rsidSect="00B45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9A42E3"/>
    <w:multiLevelType w:val="multilevel"/>
    <w:tmpl w:val="6906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A8F"/>
    <w:rsid w:val="0001205A"/>
    <w:rsid w:val="00791339"/>
    <w:rsid w:val="00AE1A8F"/>
    <w:rsid w:val="00B45844"/>
    <w:rsid w:val="00F037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B06E31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AE1A8F"/>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E1A8F"/>
    <w:rPr>
      <w:rFonts w:ascii="Times New Roman" w:hAnsi="Times New Roman" w:cs="Times New Roman"/>
      <w:b/>
      <w:bCs/>
      <w:sz w:val="27"/>
      <w:szCs w:val="27"/>
    </w:rPr>
  </w:style>
  <w:style w:type="character" w:styleId="Emphasis">
    <w:name w:val="Emphasis"/>
    <w:basedOn w:val="DefaultParagraphFont"/>
    <w:uiPriority w:val="20"/>
    <w:qFormat/>
    <w:rsid w:val="00AE1A8F"/>
    <w:rPr>
      <w:i/>
      <w:iCs/>
    </w:rPr>
  </w:style>
  <w:style w:type="paragraph" w:styleId="NormalWeb">
    <w:name w:val="Normal (Web)"/>
    <w:basedOn w:val="Normal"/>
    <w:uiPriority w:val="99"/>
    <w:unhideWhenUsed/>
    <w:rsid w:val="00AE1A8F"/>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AE1A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974838">
      <w:bodyDiv w:val="1"/>
      <w:marLeft w:val="0"/>
      <w:marRight w:val="0"/>
      <w:marTop w:val="0"/>
      <w:marBottom w:val="0"/>
      <w:divBdr>
        <w:top w:val="none" w:sz="0" w:space="0" w:color="auto"/>
        <w:left w:val="none" w:sz="0" w:space="0" w:color="auto"/>
        <w:bottom w:val="none" w:sz="0" w:space="0" w:color="auto"/>
        <w:right w:val="none" w:sz="0" w:space="0" w:color="auto"/>
      </w:divBdr>
    </w:div>
    <w:div w:id="1278637393">
      <w:bodyDiv w:val="1"/>
      <w:marLeft w:val="0"/>
      <w:marRight w:val="0"/>
      <w:marTop w:val="0"/>
      <w:marBottom w:val="0"/>
      <w:divBdr>
        <w:top w:val="none" w:sz="0" w:space="0" w:color="auto"/>
        <w:left w:val="none" w:sz="0" w:space="0" w:color="auto"/>
        <w:bottom w:val="none" w:sz="0" w:space="0" w:color="auto"/>
        <w:right w:val="none" w:sz="0" w:space="0" w:color="auto"/>
      </w:divBdr>
      <w:divsChild>
        <w:div w:id="62554867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1480</Words>
  <Characters>8441</Characters>
  <Application>Microsoft Macintosh Word</Application>
  <DocSecurity>0</DocSecurity>
  <Lines>70</Lines>
  <Paragraphs>19</Paragraphs>
  <ScaleCrop>false</ScaleCrop>
  <LinksUpToDate>false</LinksUpToDate>
  <CharactersWithSpaces>9902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2018-11-25T03:56:00Z</dcterms:created>
  <dcterms:modified xsi:type="dcterms:W3CDTF">2018-11-25T04:01:00Z</dcterms:modified>
</cp:coreProperties>
</file>